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sz w:val="40"/>
          <w:szCs w:val="40"/>
          <w:rFonts w:ascii="Arial" w:cs="Arial" w:eastAsia="Arial" w:hAnsi="Arial"/>
        </w:rPr>
        <w:t xml:space="preserve">Written Information Security Plan (WISP)</w:t>
      </w:r>
    </w:p>
    <w:p>
      <w:pPr>
        <w:spacing w:after="240"/>
      </w:pPr>
      <w:r>
        <w:rPr>
          <w:color w:val="555555"/>
          <w:sz w:val="22"/>
          <w:szCs w:val="22"/>
          <w:rFonts w:ascii="Arial" w:cs="Arial" w:eastAsia="Arial" w:hAnsi="Arial"/>
        </w:rPr>
        <w:t xml:space="preserve">Template for a tax and accounting firm, following the outline in IRS Publication 5708 (Rev. 8-2024). Replace every bracketed item. Provided by LucaLedger as a starting point, not legal advice.</w:t>
      </w:r>
    </w:p>
    <w:p>
      <w:pPr>
        <w:spacing w:after="120"/>
      </w:pPr>
      <w:r>
        <w:rPr>
          <w:b/>
          <w:bCs/>
          <w:sz w:val="26"/>
          <w:szCs w:val="26"/>
          <w:rFonts w:ascii="Arial" w:cs="Arial" w:eastAsia="Arial" w:hAnsi="Arial"/>
        </w:rPr>
        <w:t xml:space="preserve">[Firm name]</w:t>
      </w:r>
    </w:p>
    <w:p>
      <w:pPr>
        <w:spacing w:after="140"/>
      </w:pPr>
      <w:r>
        <w:rPr>
          <w:sz w:val="22"/>
          <w:szCs w:val="22"/>
          <w:rFonts w:ascii="Arial" w:cs="Arial" w:eastAsia="Arial" w:hAnsi="Arial"/>
        </w:rPr>
        <w:t xml:space="preserve">Effective date: ______________________________________________</w:t>
      </w:r>
    </w:p>
    <w:p>
      <w:pPr>
        <w:spacing w:after="140"/>
      </w:pPr>
      <w:r>
        <w:rPr>
          <w:sz w:val="22"/>
          <w:szCs w:val="22"/>
          <w:rFonts w:ascii="Arial" w:cs="Arial" w:eastAsia="Arial" w:hAnsi="Arial"/>
        </w:rPr>
        <w:t xml:space="preserve">Last reviewed: ______________________________________________</w:t>
      </w:r>
    </w:p>
    <w:p>
      <w:pPr>
        <w:spacing w:after="140"/>
      </w:pPr>
      <w:r>
        <w:rPr>
          <w:sz w:val="22"/>
          <w:szCs w:val="22"/>
          <w:rFonts w:ascii="Arial" w:cs="Arial" w:eastAsia="Arial" w:hAnsi="Arial"/>
        </w:rPr>
        <w:t xml:space="preserve">Approved by (owner or principal): ______________________________________________</w:t>
      </w:r>
    </w:p>
    <w:p>
      <w:pPr>
        <w:spacing w:after="160"/>
      </w:pPr>
      <w:r>
        <w:rPr>
          <w:i/>
          <w:iCs/>
          <w:color w:val="555555"/>
          <w:sz w:val="19"/>
          <w:szCs w:val="19"/>
          <w:rFonts w:ascii="Arial" w:cs="Arial" w:eastAsia="Arial" w:hAnsi="Arial"/>
        </w:rPr>
        <w:t xml:space="preserve">Federal Trade Commission Safeguards Rule (16 CFR Part 314), issued under the Gramm-Leach-Bliley Act, treats tax and accounting practices as financial institutions regardless of size and requires a written, accessible information security plan. Publication 5708 is the IRS and Security Summit template this document follows.</w:t>
      </w:r>
    </w:p>
    <w:p>
      <w:pPr>
        <w:pStyle w:val="Heading1"/>
        <w:spacing w:before="280" w:after="140"/>
      </w:pPr>
      <w:r>
        <w:rPr>
          <w:b/>
          <w:bCs/>
          <w:sz w:val="32"/>
          <w:szCs w:val="32"/>
          <w:rFonts w:ascii="Arial" w:cs="Arial" w:eastAsia="Arial" w:hAnsi="Arial"/>
        </w:rPr>
        <w:t xml:space="preserve">I. Objective, purpose and scope</w:t>
      </w:r>
    </w:p>
    <w:p>
      <w:pPr>
        <w:spacing w:after="120"/>
      </w:pPr>
      <w:r>
        <w:rPr>
          <w:sz w:val="22"/>
          <w:szCs w:val="22"/>
          <w:rFonts w:ascii="Arial" w:cs="Arial" w:eastAsia="Arial" w:hAnsi="Arial"/>
        </w:rPr>
        <w:t xml:space="preserve">[Firm name] (the Firm) maintains this Written Information Security Plan to protect the security, confidentiality and integrity of the personally identifiable information (PII) and taxpayer data it collects, and to comply with the Gramm-Leach-Bliley Act and the FTC Safeguards Rule.</w:t>
      </w:r>
    </w:p>
    <w:p>
      <w:pPr>
        <w:spacing w:after="120"/>
      </w:pPr>
      <w:r>
        <w:rPr>
          <w:sz w:val="22"/>
          <w:szCs w:val="22"/>
          <w:rFonts w:ascii="Arial" w:cs="Arial" w:eastAsia="Arial" w:hAnsi="Arial"/>
        </w:rPr>
        <w:t xml:space="preserve">This plan covers every place the Firm holds client information: [list: workstations, laptops, phones, cloud applications, the client portal, tax and bookkeeping software, email, paper files, backups]. It applies to every owner, employee and contractor who can access that information.</w:t>
      </w:r>
    </w:p>
    <w:p>
      <w:pPr>
        <w:pStyle w:val="Heading1"/>
        <w:spacing w:before="280" w:after="140"/>
      </w:pPr>
      <w:r>
        <w:rPr>
          <w:b/>
          <w:bCs/>
          <w:sz w:val="32"/>
          <w:szCs w:val="32"/>
          <w:rFonts w:ascii="Arial" w:cs="Arial" w:eastAsia="Arial" w:hAnsi="Arial"/>
        </w:rPr>
        <w:t xml:space="preserve">II. Responsible individuals</w:t>
      </w:r>
    </w:p>
    <w:p>
      <w:pPr>
        <w:spacing w:after="120"/>
      </w:pPr>
      <w:r>
        <w:rPr>
          <w:sz w:val="22"/>
          <w:szCs w:val="22"/>
          <w:rFonts w:ascii="Arial" w:cs="Arial" w:eastAsia="Arial" w:hAnsi="Arial"/>
        </w:rPr>
        <w:t xml:space="preserve">Data Security Coordinator (DSC), the qualified individual who coordinates the information security program:</w:t>
      </w:r>
    </w:p>
    <w:p>
      <w:pPr>
        <w:spacing w:after="140"/>
      </w:pPr>
      <w:r>
        <w:rPr>
          <w:sz w:val="22"/>
          <w:szCs w:val="22"/>
          <w:rFonts w:ascii="Arial" w:cs="Arial" w:eastAsia="Arial" w:hAnsi="Arial"/>
        </w:rPr>
        <w:t xml:space="preserve">Name and title: ______________________________________________</w:t>
      </w:r>
    </w:p>
    <w:p>
      <w:pPr>
        <w:spacing w:after="120"/>
      </w:pPr>
      <w:r>
        <w:rPr>
          <w:sz w:val="22"/>
          <w:szCs w:val="22"/>
          <w:rFonts w:ascii="Arial" w:cs="Arial" w:eastAsia="Arial" w:hAnsi="Arial"/>
        </w:rPr>
        <w:t xml:space="preserve">Public Information Officer (PIO), the single point of contact for client and outside communication after an incident:</w:t>
      </w:r>
    </w:p>
    <w:p>
      <w:pPr>
        <w:spacing w:after="140"/>
      </w:pPr>
      <w:r>
        <w:rPr>
          <w:sz w:val="22"/>
          <w:szCs w:val="22"/>
          <w:rFonts w:ascii="Arial" w:cs="Arial" w:eastAsia="Arial" w:hAnsi="Arial"/>
        </w:rPr>
        <w:t xml:space="preserve">Name and title: ______________________________________________</w:t>
      </w:r>
    </w:p>
    <w:p>
      <w:pPr>
        <w:spacing w:after="120"/>
      </w:pPr>
      <w:r>
        <w:rPr>
          <w:sz w:val="22"/>
          <w:szCs w:val="22"/>
          <w:rFonts w:ascii="Arial" w:cs="Arial" w:eastAsia="Arial" w:hAnsi="Arial"/>
        </w:rPr>
        <w:t xml:space="preserve">Authorized users, their access level and responsibilities (attach as Attachment F):</w:t>
      </w:r>
    </w:p>
    <w:p>
      <w:pPr>
        <w:spacing w:after="140"/>
      </w:pPr>
      <w:r>
        <w:rPr>
          <w:sz w:val="22"/>
          <w:szCs w:val="22"/>
          <w:rFonts w:ascii="Arial" w:cs="Arial" w:eastAsia="Arial" w:hAnsi="Arial"/>
        </w:rPr>
        <w:t xml:space="preserve">Attachment F prepared on: ______________________________________________</w:t>
      </w:r>
    </w:p>
    <w:p>
      <w:pPr>
        <w:pStyle w:val="Heading1"/>
        <w:spacing w:before="280" w:after="140"/>
      </w:pPr>
      <w:r>
        <w:rPr>
          <w:b/>
          <w:bCs/>
          <w:sz w:val="32"/>
          <w:szCs w:val="32"/>
          <w:rFonts w:ascii="Arial" w:cs="Arial" w:eastAsia="Arial" w:hAnsi="Arial"/>
        </w:rPr>
        <w:t xml:space="preserve">III. Risk assessment</w:t>
      </w:r>
    </w:p>
    <w:p>
      <w:pPr>
        <w:spacing w:after="120"/>
      </w:pPr>
      <w:r>
        <w:rPr>
          <w:sz w:val="22"/>
          <w:szCs w:val="22"/>
          <w:rFonts w:ascii="Arial" w:cs="Arial" w:eastAsia="Arial" w:hAnsi="Arial"/>
        </w:rPr>
        <w:t xml:space="preserve">Types of information the Firm handles: [names, addresses, Social Security numbers, dates of birth, bank account numbers, income documents, tax returns, payroll data, login credentials].</w:t>
      </w:r>
    </w:p>
    <w:p>
      <w:pPr>
        <w:spacing w:after="120"/>
      </w:pPr>
      <w:r>
        <w:rPr>
          <w:sz w:val="22"/>
          <w:szCs w:val="22"/>
          <w:rFonts w:ascii="Arial" w:cs="Arial" w:eastAsia="Arial" w:hAnsi="Arial"/>
        </w:rPr>
        <w:t xml:space="preserve">Where it can be lost, inside the Firm: [shared logins, unlocked screens, paper on desks, departed staff with access, unencrypted laptops, personal devices].</w:t>
      </w:r>
    </w:p>
    <w:p>
      <w:pPr>
        <w:spacing w:after="120"/>
      </w:pPr>
      <w:r>
        <w:rPr>
          <w:sz w:val="22"/>
          <w:szCs w:val="22"/>
          <w:rFonts w:ascii="Arial" w:cs="Arial" w:eastAsia="Arial" w:hAnsi="Arial"/>
        </w:rPr>
        <w:t xml:space="preserve">Where it can be lost, outside the Firm: [phishing, email attachments, unsecured Wi-Fi, vendor breach, ransomware, lost devices, remote access].</w:t>
      </w:r>
    </w:p>
    <w:p>
      <w:pPr>
        <w:spacing w:after="120"/>
      </w:pPr>
      <w:r>
        <w:rPr>
          <w:sz w:val="22"/>
          <w:szCs w:val="22"/>
          <w:rFonts w:ascii="Arial" w:cs="Arial" w:eastAsia="Arial" w:hAnsi="Arial"/>
        </w:rPr>
        <w:t xml:space="preserve">How the DSC monitors and tests these risks: [quarterly access review, log review at intervals not exceeding 90 days, annual plan review, testing after any change in operations].</w:t>
      </w:r>
    </w:p>
    <w:p>
      <w:pPr>
        <w:pStyle w:val="Heading1"/>
        <w:spacing w:before="280" w:after="140"/>
      </w:pPr>
      <w:r>
        <w:rPr>
          <w:b/>
          <w:bCs/>
          <w:sz w:val="32"/>
          <w:szCs w:val="32"/>
          <w:rFonts w:ascii="Arial" w:cs="Arial" w:eastAsia="Arial" w:hAnsi="Arial"/>
        </w:rPr>
        <w:t xml:space="preserve">IV. Hardware and systems inventory</w:t>
      </w:r>
    </w:p>
    <w:p>
      <w:pPr>
        <w:spacing w:after="120"/>
      </w:pPr>
      <w:r>
        <w:rPr>
          <w:sz w:val="22"/>
          <w:szCs w:val="22"/>
          <w:rFonts w:ascii="Arial" w:cs="Arial" w:eastAsia="Arial" w:hAnsi="Arial"/>
        </w:rPr>
        <w:t xml:space="preserve">Every device and system that stores or processes PII, with its location and what it holds, is listed in Attachment E and reviewed [quarterly].</w:t>
      </w:r>
    </w:p>
    <w:p>
      <w:pPr>
        <w:pStyle w:val="Heading1"/>
        <w:spacing w:before="280" w:after="140"/>
      </w:pPr>
      <w:r>
        <w:rPr>
          <w:b/>
          <w:bCs/>
          <w:sz w:val="32"/>
          <w:szCs w:val="32"/>
          <w:rFonts w:ascii="Arial" w:cs="Arial" w:eastAsia="Arial" w:hAnsi="Arial"/>
        </w:rPr>
        <w:t xml:space="preserve">V. Safeguards inside the Firm</w:t>
      </w:r>
    </w:p>
    <w:p>
      <w:pPr>
        <w:pStyle w:val="Heading2"/>
        <w:spacing w:before="220" w:after="100"/>
      </w:pPr>
      <w:r>
        <w:rPr>
          <w:b/>
          <w:bCs/>
          <w:sz w:val="26"/>
          <w:szCs w:val="26"/>
          <w:rFonts w:ascii="Arial" w:cs="Arial" w:eastAsia="Arial" w:hAnsi="Arial"/>
        </w:rPr>
        <w:t xml:space="preserve">Collection and retention</w:t>
      </w:r>
    </w:p>
    <w:p>
      <w:pPr>
        <w:pStyle w:val="ListParagraph"/>
        <w:numPr>
          <w:ilvl w:val="0"/>
          <w:numId w:val="2"/>
        </w:numPr>
        <w:spacing w:after="60"/>
      </w:pPr>
      <w:r>
        <w:rPr>
          <w:sz w:val="22"/>
          <w:szCs w:val="22"/>
          <w:rFonts w:ascii="Arial" w:cs="Arial" w:eastAsia="Arial" w:hAnsi="Arial"/>
        </w:rPr>
        <w:t xml:space="preserve">Only PII needed for a legitimate business purpose is collected.</w:t>
      </w:r>
    </w:p>
    <w:p>
      <w:pPr>
        <w:pStyle w:val="ListParagraph"/>
        <w:numPr>
          <w:ilvl w:val="0"/>
          <w:numId w:val="2"/>
        </w:numPr>
        <w:spacing w:after="60"/>
      </w:pPr>
      <w:r>
        <w:rPr>
          <w:sz w:val="22"/>
          <w:szCs w:val="22"/>
          <w:rFonts w:ascii="Arial" w:cs="Arial" w:eastAsia="Arial" w:hAnsi="Arial"/>
        </w:rPr>
        <w:t xml:space="preserve">Access is limited to staff whose duties require it, and only for those duties.</w:t>
      </w:r>
    </w:p>
    <w:p>
      <w:pPr>
        <w:pStyle w:val="ListParagraph"/>
        <w:numPr>
          <w:ilvl w:val="0"/>
          <w:numId w:val="2"/>
        </w:numPr>
        <w:spacing w:after="60"/>
      </w:pPr>
      <w:r>
        <w:rPr>
          <w:sz w:val="22"/>
          <w:szCs w:val="22"/>
          <w:rFonts w:ascii="Arial" w:cs="Arial" w:eastAsia="Arial" w:hAnsi="Arial"/>
        </w:rPr>
        <w:t xml:space="preserve">Records are destroyed at the end of their retention period (Attachment A): paper by cross-cut shredding, electronic by secure deletion or drive reformatting.</w:t>
      </w:r>
    </w:p>
    <w:p>
      <w:pPr>
        <w:pStyle w:val="Heading2"/>
        <w:spacing w:before="220" w:after="100"/>
      </w:pPr>
      <w:r>
        <w:rPr>
          <w:b/>
          <w:bCs/>
          <w:sz w:val="26"/>
          <w:szCs w:val="26"/>
          <w:rFonts w:ascii="Arial" w:cs="Arial" w:eastAsia="Arial" w:hAnsi="Arial"/>
        </w:rPr>
        <w:t xml:space="preserve">Personnel</w:t>
      </w:r>
    </w:p>
    <w:p>
      <w:pPr>
        <w:pStyle w:val="ListParagraph"/>
        <w:numPr>
          <w:ilvl w:val="0"/>
          <w:numId w:val="2"/>
        </w:numPr>
        <w:spacing w:after="60"/>
      </w:pPr>
      <w:r>
        <w:rPr>
          <w:sz w:val="22"/>
          <w:szCs w:val="22"/>
          <w:rFonts w:ascii="Arial" w:cs="Arial" w:eastAsia="Arial" w:hAnsi="Arial"/>
        </w:rPr>
        <w:t xml:space="preserve">Every employee and contractor receives this plan on their first day and signs Attachment D.</w:t>
      </w:r>
    </w:p>
    <w:p>
      <w:pPr>
        <w:pStyle w:val="ListParagraph"/>
        <w:numPr>
          <w:ilvl w:val="0"/>
          <w:numId w:val="2"/>
        </w:numPr>
        <w:spacing w:after="60"/>
      </w:pPr>
      <w:r>
        <w:rPr>
          <w:sz w:val="22"/>
          <w:szCs w:val="22"/>
          <w:rFonts w:ascii="Arial" w:cs="Arial" w:eastAsia="Arial" w:hAnsi="Arial"/>
        </w:rPr>
        <w:t xml:space="preserve">Security awareness training is given at onboarding and at least annually; the DSC keeps the record.</w:t>
      </w:r>
    </w:p>
    <w:p>
      <w:pPr>
        <w:pStyle w:val="ListParagraph"/>
        <w:numPr>
          <w:ilvl w:val="0"/>
          <w:numId w:val="2"/>
        </w:numPr>
        <w:spacing w:after="60"/>
      </w:pPr>
      <w:r>
        <w:rPr>
          <w:sz w:val="22"/>
          <w:szCs w:val="22"/>
          <w:rFonts w:ascii="Arial" w:cs="Arial" w:eastAsia="Arial" w:hAnsi="Arial"/>
        </w:rPr>
        <w:t xml:space="preserve">Access is removed the same day a person leaves; the DSC confirms it in writing.</w:t>
      </w:r>
    </w:p>
    <w:p>
      <w:pPr>
        <w:pStyle w:val="Heading2"/>
        <w:spacing w:before="220" w:after="100"/>
      </w:pPr>
      <w:r>
        <w:rPr>
          <w:b/>
          <w:bCs/>
          <w:sz w:val="26"/>
          <w:szCs w:val="26"/>
          <w:rFonts w:ascii="Arial" w:cs="Arial" w:eastAsia="Arial" w:hAnsi="Arial"/>
        </w:rPr>
        <w:t xml:space="preserve">Client data disclosure</w:t>
      </w:r>
    </w:p>
    <w:p>
      <w:pPr>
        <w:pStyle w:val="ListParagraph"/>
        <w:numPr>
          <w:ilvl w:val="0"/>
          <w:numId w:val="2"/>
        </w:numPr>
        <w:spacing w:after="60"/>
      </w:pPr>
      <w:r>
        <w:rPr>
          <w:sz w:val="22"/>
          <w:szCs w:val="22"/>
          <w:rFonts w:ascii="Arial" w:cs="Arial" w:eastAsia="Arial" w:hAnsi="Arial"/>
        </w:rPr>
        <w:t xml:space="preserve">Tax return information is disclosed only with the client's written consent as IRC section 7216 requires, or as the law otherwise permits.</w:t>
      </w:r>
    </w:p>
    <w:p>
      <w:pPr>
        <w:pStyle w:val="ListParagraph"/>
        <w:numPr>
          <w:ilvl w:val="0"/>
          <w:numId w:val="2"/>
        </w:numPr>
        <w:spacing w:after="60"/>
      </w:pPr>
      <w:r>
        <w:rPr>
          <w:sz w:val="22"/>
          <w:szCs w:val="22"/>
          <w:rFonts w:ascii="Arial" w:cs="Arial" w:eastAsia="Arial" w:hAnsi="Arial"/>
        </w:rPr>
        <w:t xml:space="preserve">Clients are identified before any information is released by phone or email.</w:t>
      </w:r>
    </w:p>
    <w:p>
      <w:pPr>
        <w:pStyle w:val="Heading1"/>
        <w:spacing w:before="280" w:after="140"/>
      </w:pPr>
      <w:r>
        <w:rPr>
          <w:b/>
          <w:bCs/>
          <w:sz w:val="32"/>
          <w:szCs w:val="32"/>
          <w:rFonts w:ascii="Arial" w:cs="Arial" w:eastAsia="Arial" w:hAnsi="Arial"/>
        </w:rPr>
        <w:t xml:space="preserve">VI. Safeguards outside the Firm</w:t>
      </w:r>
    </w:p>
    <w:p>
      <w:pPr>
        <w:pStyle w:val="Heading2"/>
        <w:spacing w:before="220" w:after="100"/>
      </w:pPr>
      <w:r>
        <w:rPr>
          <w:b/>
          <w:bCs/>
          <w:sz w:val="26"/>
          <w:szCs w:val="26"/>
          <w:rFonts w:ascii="Arial" w:cs="Arial" w:eastAsia="Arial" w:hAnsi="Arial"/>
        </w:rPr>
        <w:t xml:space="preserve">Network and devices</w:t>
      </w:r>
    </w:p>
    <w:p>
      <w:pPr>
        <w:pStyle w:val="ListParagraph"/>
        <w:numPr>
          <w:ilvl w:val="0"/>
          <w:numId w:val="2"/>
        </w:numPr>
        <w:spacing w:after="60"/>
      </w:pPr>
      <w:r>
        <w:rPr>
          <w:sz w:val="22"/>
          <w:szCs w:val="22"/>
          <w:rFonts w:ascii="Arial" w:cs="Arial" w:eastAsia="Arial" w:hAnsi="Arial"/>
        </w:rPr>
        <w:t xml:space="preserve">Firewalls, operating systems and all software are kept patched; anti-malware runs on every device that touches PII.</w:t>
      </w:r>
    </w:p>
    <w:p>
      <w:pPr>
        <w:pStyle w:val="ListParagraph"/>
        <w:numPr>
          <w:ilvl w:val="0"/>
          <w:numId w:val="2"/>
        </w:numPr>
        <w:spacing w:after="60"/>
      </w:pPr>
      <w:r>
        <w:rPr>
          <w:sz w:val="22"/>
          <w:szCs w:val="22"/>
          <w:rFonts w:ascii="Arial" w:cs="Arial" w:eastAsia="Arial" w:hAnsi="Arial"/>
        </w:rPr>
        <w:t xml:space="preserve">Every device that stores PII is encrypted at rest. Lost or stolen devices are reported to the DSC the same day.</w:t>
      </w:r>
    </w:p>
    <w:p>
      <w:pPr>
        <w:pStyle w:val="ListParagraph"/>
        <w:numPr>
          <w:ilvl w:val="0"/>
          <w:numId w:val="2"/>
        </w:numPr>
        <w:spacing w:after="60"/>
      </w:pPr>
      <w:r>
        <w:rPr>
          <w:sz w:val="22"/>
          <w:szCs w:val="22"/>
          <w:rFonts w:ascii="Arial" w:cs="Arial" w:eastAsia="Arial" w:hAnsi="Arial"/>
        </w:rPr>
        <w:t xml:space="preserve">Firm Wi-Fi is encrypted (WPA2 or later) with a non-default password; PII is not accessed over public Wi-Fi without a VPN.</w:t>
      </w:r>
    </w:p>
    <w:p>
      <w:pPr>
        <w:pStyle w:val="Heading2"/>
        <w:spacing w:before="220" w:after="100"/>
      </w:pPr>
      <w:r>
        <w:rPr>
          <w:b/>
          <w:bCs/>
          <w:sz w:val="26"/>
          <w:szCs w:val="26"/>
          <w:rFonts w:ascii="Arial" w:cs="Arial" w:eastAsia="Arial" w:hAnsi="Arial"/>
        </w:rPr>
        <w:t xml:space="preserve">User access</w:t>
      </w:r>
    </w:p>
    <w:p>
      <w:pPr>
        <w:pStyle w:val="ListParagraph"/>
        <w:numPr>
          <w:ilvl w:val="0"/>
          <w:numId w:val="2"/>
        </w:numPr>
        <w:spacing w:after="60"/>
      </w:pPr>
      <w:r>
        <w:rPr>
          <w:sz w:val="22"/>
          <w:szCs w:val="22"/>
          <w:rFonts w:ascii="Arial" w:cs="Arial" w:eastAsia="Arial" w:hAnsi="Arial"/>
        </w:rPr>
        <w:t xml:space="preserve">Multi-factor authentication is required for every person accessing any Firm information system, as 16 CFR 314.4(c)(5) requires.</w:t>
      </w:r>
    </w:p>
    <w:p>
      <w:pPr>
        <w:pStyle w:val="ListParagraph"/>
        <w:numPr>
          <w:ilvl w:val="0"/>
          <w:numId w:val="2"/>
        </w:numPr>
        <w:spacing w:after="60"/>
      </w:pPr>
      <w:r>
        <w:rPr>
          <w:sz w:val="22"/>
          <w:szCs w:val="22"/>
          <w:rFonts w:ascii="Arial" w:cs="Arial" w:eastAsia="Arial" w:hAnsi="Arial"/>
        </w:rPr>
        <w:t xml:space="preserve">No shared accounts or passwords. Passwords are unique to the Firm, stored in an approved password manager, and changed when compromise is suspected.</w:t>
      </w:r>
    </w:p>
    <w:p>
      <w:pPr>
        <w:pStyle w:val="ListParagraph"/>
        <w:numPr>
          <w:ilvl w:val="0"/>
          <w:numId w:val="2"/>
        </w:numPr>
        <w:spacing w:after="60"/>
      </w:pPr>
      <w:r>
        <w:rPr>
          <w:sz w:val="22"/>
          <w:szCs w:val="22"/>
          <w:rFonts w:ascii="Arial" w:cs="Arial" w:eastAsia="Arial" w:hAnsi="Arial"/>
        </w:rPr>
        <w:t xml:space="preserve">Remote access is only through [VPN or the cloud application's own MFA login].</w:t>
      </w:r>
    </w:p>
    <w:p>
      <w:pPr>
        <w:pStyle w:val="Heading2"/>
        <w:spacing w:before="220" w:after="100"/>
      </w:pPr>
      <w:r>
        <w:rPr>
          <w:b/>
          <w:bCs/>
          <w:sz w:val="26"/>
          <w:szCs w:val="26"/>
          <w:rFonts w:ascii="Arial" w:cs="Arial" w:eastAsia="Arial" w:hAnsi="Arial"/>
        </w:rPr>
        <w:t xml:space="preserve">Electronic data exchange</w:t>
      </w:r>
    </w:p>
    <w:p>
      <w:pPr>
        <w:pStyle w:val="ListParagraph"/>
        <w:numPr>
          <w:ilvl w:val="0"/>
          <w:numId w:val="2"/>
        </w:numPr>
        <w:spacing w:after="60"/>
      </w:pPr>
      <w:r>
        <w:rPr>
          <w:sz w:val="22"/>
          <w:szCs w:val="22"/>
          <w:rFonts w:ascii="Arial" w:cs="Arial" w:eastAsia="Arial" w:hAnsi="Arial"/>
        </w:rPr>
        <w:t xml:space="preserve">Client documents are exchanged through the secure client portal, not email attachments. Anything sent by email is encrypted or password-protected.</w:t>
      </w:r>
    </w:p>
    <w:p>
      <w:pPr>
        <w:pStyle w:val="ListParagraph"/>
        <w:numPr>
          <w:ilvl w:val="0"/>
          <w:numId w:val="2"/>
        </w:numPr>
        <w:spacing w:after="60"/>
      </w:pPr>
      <w:r>
        <w:rPr>
          <w:sz w:val="22"/>
          <w:szCs w:val="22"/>
          <w:rFonts w:ascii="Arial" w:cs="Arial" w:eastAsia="Arial" w:hAnsi="Arial"/>
        </w:rPr>
        <w:t xml:space="preserve">Service providers that hold client data are listed in Attachment E with the date their safeguards were reviewed; contracts require them to maintain safeguards.</w:t>
      </w:r>
    </w:p>
    <w:p>
      <w:pPr>
        <w:pStyle w:val="Heading2"/>
        <w:spacing w:before="220" w:after="100"/>
      </w:pPr>
      <w:r>
        <w:rPr>
          <w:b/>
          <w:bCs/>
          <w:sz w:val="26"/>
          <w:szCs w:val="26"/>
          <w:rFonts w:ascii="Arial" w:cs="Arial" w:eastAsia="Arial" w:hAnsi="Arial"/>
        </w:rPr>
        <w:t xml:space="preserve">Reportable incidents</w:t>
      </w:r>
    </w:p>
    <w:p>
      <w:pPr>
        <w:pStyle w:val="ListParagraph"/>
        <w:numPr>
          <w:ilvl w:val="0"/>
          <w:numId w:val="2"/>
        </w:numPr>
        <w:spacing w:after="60"/>
      </w:pPr>
      <w:r>
        <w:rPr>
          <w:sz w:val="22"/>
          <w:szCs w:val="22"/>
          <w:rFonts w:ascii="Arial" w:cs="Arial" w:eastAsia="Arial" w:hAnsi="Arial"/>
        </w:rPr>
        <w:t xml:space="preserve">Any suspected loss, theft or unauthorized access to PII is reported to the DSC immediately. The DSC follows Attachment C.</w:t>
      </w:r>
    </w:p>
    <w:p>
      <w:pPr>
        <w:pStyle w:val="Heading1"/>
        <w:spacing w:before="280" w:after="140"/>
      </w:pPr>
      <w:r>
        <w:rPr>
          <w:b/>
          <w:bCs/>
          <w:sz w:val="32"/>
          <w:szCs w:val="32"/>
          <w:rFonts w:ascii="Arial" w:cs="Arial" w:eastAsia="Arial" w:hAnsi="Arial"/>
        </w:rPr>
        <w:t xml:space="preserve">VII. Implementation</w:t>
      </w:r>
    </w:p>
    <w:p>
      <w:pPr>
        <w:spacing w:after="120"/>
      </w:pPr>
      <w:r>
        <w:rPr>
          <w:sz w:val="22"/>
          <w:szCs w:val="22"/>
          <w:rFonts w:ascii="Arial" w:cs="Arial" w:eastAsia="Arial" w:hAnsi="Arial"/>
        </w:rPr>
        <w:t xml:space="preserve">This plan takes effect on the date above. The DSC reviews it at least annually, after any security incident, and whenever the Firm's operations change. Each review is dated and initialed below.</w:t>
      </w:r>
    </w:p>
    <w:p>
      <w:pPr>
        <w:spacing w:after="140"/>
      </w:pPr>
      <w:r>
        <w:rPr>
          <w:sz w:val="22"/>
          <w:szCs w:val="22"/>
          <w:rFonts w:ascii="Arial" w:cs="Arial" w:eastAsia="Arial" w:hAnsi="Arial"/>
        </w:rPr>
        <w:t xml:space="preserve">Review date and initials: ______________________________________________</w:t>
      </w:r>
    </w:p>
    <w:p>
      <w:pPr>
        <w:spacing w:after="140"/>
      </w:pPr>
      <w:r>
        <w:rPr>
          <w:sz w:val="22"/>
          <w:szCs w:val="22"/>
          <w:rFonts w:ascii="Arial" w:cs="Arial" w:eastAsia="Arial" w:hAnsi="Arial"/>
        </w:rPr>
        <w:t xml:space="preserve">Review date and initials: ______________________________________________</w:t>
      </w:r>
    </w:p>
    <w:p>
      <w:pPr>
        <w:spacing w:after="140"/>
      </w:pPr>
      <w:r>
        <w:rPr>
          <w:sz w:val="22"/>
          <w:szCs w:val="22"/>
          <w:rFonts w:ascii="Arial" w:cs="Arial" w:eastAsia="Arial" w:hAnsi="Arial"/>
        </w:rPr>
        <w:t xml:space="preserve">Review date and initials: ______________________________________________</w:t>
      </w:r>
    </w:p>
    <w:p>
      <w:r>
        <w:br w:type="page"/>
      </w:r>
    </w:p>
    <w:p>
      <w:pPr>
        <w:pStyle w:val="Heading1"/>
        <w:spacing w:before="280" w:after="140"/>
      </w:pPr>
      <w:r>
        <w:rPr>
          <w:b/>
          <w:bCs/>
          <w:sz w:val="32"/>
          <w:szCs w:val="32"/>
          <w:rFonts w:ascii="Arial" w:cs="Arial" w:eastAsia="Arial" w:hAnsi="Arial"/>
        </w:rPr>
        <w:t xml:space="preserve">Attachment A. Record retention</w:t>
      </w:r>
    </w:p>
    <w:p>
      <w:pPr>
        <w:spacing w:after="120"/>
      </w:pPr>
      <w:r>
        <w:rPr>
          <w:sz w:val="22"/>
          <w:szCs w:val="22"/>
          <w:rFonts w:ascii="Arial" w:cs="Arial" w:eastAsia="Arial" w:hAnsi="Arial"/>
        </w:rPr>
        <w:t xml:space="preserve">Client tax returns and supporting documents: [7] years after the filing year. Bookkeeping records: [7] years after the year closed. Client-provided source documents: [7] years after upload. Personnel records: [3] years after the relationship ends. Nothing containing PII is kept longer than [7] years unless a legal hold applies.</w:t>
      </w:r>
    </w:p>
    <w:p>
      <w:pPr>
        <w:pStyle w:val="Heading1"/>
        <w:spacing w:before="280" w:after="140"/>
      </w:pPr>
      <w:r>
        <w:rPr>
          <w:b/>
          <w:bCs/>
          <w:sz w:val="32"/>
          <w:szCs w:val="32"/>
          <w:rFonts w:ascii="Arial" w:cs="Arial" w:eastAsia="Arial" w:hAnsi="Arial"/>
        </w:rPr>
        <w:t xml:space="preserve">Attachment B. Rules of behavior for safeguarding client PII</w:t>
      </w:r>
    </w:p>
    <w:p>
      <w:pPr>
        <w:pStyle w:val="ListParagraph"/>
        <w:numPr>
          <w:ilvl w:val="0"/>
          <w:numId w:val="3"/>
        </w:numPr>
        <w:spacing w:after="70"/>
      </w:pPr>
      <w:r>
        <w:rPr>
          <w:sz w:val="22"/>
          <w:szCs w:val="22"/>
          <w:rFonts w:ascii="Arial" w:cs="Arial" w:eastAsia="Arial" w:hAnsi="Arial"/>
        </w:rPr>
        <w:t xml:space="preserve">Lock your screen when you step away. Never leave client paper on a desk overnight.</w:t>
      </w:r>
    </w:p>
    <w:p>
      <w:pPr>
        <w:pStyle w:val="ListParagraph"/>
        <w:numPr>
          <w:ilvl w:val="0"/>
          <w:numId w:val="3"/>
        </w:numPr>
        <w:spacing w:after="70"/>
      </w:pPr>
      <w:r>
        <w:rPr>
          <w:sz w:val="22"/>
          <w:szCs w:val="22"/>
          <w:rFonts w:ascii="Arial" w:cs="Arial" w:eastAsia="Arial" w:hAnsi="Arial"/>
        </w:rPr>
        <w:t xml:space="preserve">Never share your login. Never use your Firm password on another site.</w:t>
      </w:r>
    </w:p>
    <w:p>
      <w:pPr>
        <w:pStyle w:val="ListParagraph"/>
        <w:numPr>
          <w:ilvl w:val="0"/>
          <w:numId w:val="3"/>
        </w:numPr>
        <w:spacing w:after="70"/>
      </w:pPr>
      <w:r>
        <w:rPr>
          <w:sz w:val="22"/>
          <w:szCs w:val="22"/>
          <w:rFonts w:ascii="Arial" w:cs="Arial" w:eastAsia="Arial" w:hAnsi="Arial"/>
        </w:rPr>
        <w:t xml:space="preserve">Do not open attachments or links you did not expect, even from a known name. Report suspicious messages to the DSC.</w:t>
      </w:r>
    </w:p>
    <w:p>
      <w:pPr>
        <w:pStyle w:val="ListParagraph"/>
        <w:numPr>
          <w:ilvl w:val="0"/>
          <w:numId w:val="3"/>
        </w:numPr>
        <w:spacing w:after="70"/>
      </w:pPr>
      <w:r>
        <w:rPr>
          <w:sz w:val="22"/>
          <w:szCs w:val="22"/>
          <w:rFonts w:ascii="Arial" w:cs="Arial" w:eastAsia="Arial" w:hAnsi="Arial"/>
        </w:rPr>
        <w:t xml:space="preserve">Send client documents only through the portal. Never text or email a Social Security number.</w:t>
      </w:r>
    </w:p>
    <w:p>
      <w:pPr>
        <w:pStyle w:val="ListParagraph"/>
        <w:numPr>
          <w:ilvl w:val="0"/>
          <w:numId w:val="3"/>
        </w:numPr>
        <w:spacing w:after="70"/>
      </w:pPr>
      <w:r>
        <w:rPr>
          <w:sz w:val="22"/>
          <w:szCs w:val="22"/>
          <w:rFonts w:ascii="Arial" w:cs="Arial" w:eastAsia="Arial" w:hAnsi="Arial"/>
        </w:rPr>
        <w:t xml:space="preserve">Use only Firm-approved devices and applications for client data.</w:t>
      </w:r>
    </w:p>
    <w:p>
      <w:pPr>
        <w:pStyle w:val="ListParagraph"/>
        <w:numPr>
          <w:ilvl w:val="0"/>
          <w:numId w:val="3"/>
        </w:numPr>
        <w:spacing w:after="70"/>
      </w:pPr>
      <w:r>
        <w:rPr>
          <w:sz w:val="22"/>
          <w:szCs w:val="22"/>
          <w:rFonts w:ascii="Arial" w:cs="Arial" w:eastAsia="Arial" w:hAnsi="Arial"/>
        </w:rPr>
        <w:t xml:space="preserve">Report a lost device, a suspected breach, or a mistake immediately. Reporting early is never penalized.</w:t>
      </w:r>
    </w:p>
    <w:p>
      <w:pPr>
        <w:pStyle w:val="Heading1"/>
        <w:spacing w:before="280" w:after="140"/>
      </w:pPr>
      <w:r>
        <w:rPr>
          <w:b/>
          <w:bCs/>
          <w:sz w:val="32"/>
          <w:szCs w:val="32"/>
          <w:rFonts w:ascii="Arial" w:cs="Arial" w:eastAsia="Arial" w:hAnsi="Arial"/>
        </w:rPr>
        <w:t xml:space="preserve">Attachment C. Security breach procedures and notifications</w:t>
      </w:r>
    </w:p>
    <w:p>
      <w:pPr>
        <w:spacing w:after="120"/>
      </w:pPr>
      <w:r>
        <w:rPr>
          <w:sz w:val="22"/>
          <w:szCs w:val="22"/>
          <w:rFonts w:ascii="Arial" w:cs="Arial" w:eastAsia="Arial" w:hAnsi="Arial"/>
        </w:rPr>
        <w:t xml:space="preserve">If the DSC determines PII has been lost or stolen, the Firm will, in this order:</w:t>
      </w:r>
    </w:p>
    <w:p>
      <w:pPr>
        <w:pStyle w:val="ListParagraph"/>
        <w:numPr>
          <w:ilvl w:val="0"/>
          <w:numId w:val="2"/>
        </w:numPr>
        <w:spacing w:after="60"/>
      </w:pPr>
      <w:r>
        <w:rPr>
          <w:sz w:val="22"/>
          <w:szCs w:val="22"/>
          <w:rFonts w:ascii="Arial" w:cs="Arial" w:eastAsia="Arial" w:hAnsi="Arial"/>
        </w:rPr>
        <w:t xml:space="preserve">Contain: disconnect affected devices, reset credentials, preserve logs.</w:t>
      </w:r>
    </w:p>
    <w:p>
      <w:pPr>
        <w:pStyle w:val="ListParagraph"/>
        <w:numPr>
          <w:ilvl w:val="0"/>
          <w:numId w:val="2"/>
        </w:numPr>
        <w:spacing w:after="60"/>
      </w:pPr>
      <w:r>
        <w:rPr>
          <w:sz w:val="22"/>
          <w:szCs w:val="22"/>
          <w:rFonts w:ascii="Arial" w:cs="Arial" w:eastAsia="Arial" w:hAnsi="Arial"/>
        </w:rPr>
        <w:t xml:space="preserve">Notify the IRS Stakeholder Liaison for the Firm's state, who coordinates the IRS response to a tax professional data breach.</w:t>
      </w:r>
    </w:p>
    <w:p>
      <w:pPr>
        <w:pStyle w:val="ListParagraph"/>
        <w:numPr>
          <w:ilvl w:val="0"/>
          <w:numId w:val="2"/>
        </w:numPr>
        <w:spacing w:after="60"/>
      </w:pPr>
      <w:r>
        <w:rPr>
          <w:sz w:val="22"/>
          <w:szCs w:val="22"/>
          <w:rFonts w:ascii="Arial" w:cs="Arial" w:eastAsia="Arial" w:hAnsi="Arial"/>
        </w:rPr>
        <w:t xml:space="preserve">Notify the state Attorney General and state tax agency as state law requires.</w:t>
      </w:r>
    </w:p>
    <w:p>
      <w:pPr>
        <w:pStyle w:val="ListParagraph"/>
        <w:numPr>
          <w:ilvl w:val="0"/>
          <w:numId w:val="2"/>
        </w:numPr>
        <w:spacing w:after="60"/>
      </w:pPr>
      <w:r>
        <w:rPr>
          <w:sz w:val="22"/>
          <w:szCs w:val="22"/>
          <w:rFonts w:ascii="Arial" w:cs="Arial" w:eastAsia="Arial" w:hAnsi="Arial"/>
        </w:rPr>
        <w:t xml:space="preserve">Report to the FTC within 30 days of discovery if 500 or more people are affected, using the Safeguards Rule Security Event Reporting Form.</w:t>
      </w:r>
    </w:p>
    <w:p>
      <w:pPr>
        <w:pStyle w:val="ListParagraph"/>
        <w:numPr>
          <w:ilvl w:val="0"/>
          <w:numId w:val="2"/>
        </w:numPr>
        <w:spacing w:after="60"/>
      </w:pPr>
      <w:r>
        <w:rPr>
          <w:sz w:val="22"/>
          <w:szCs w:val="22"/>
          <w:rFonts w:ascii="Arial" w:cs="Arial" w:eastAsia="Arial" w:hAnsi="Arial"/>
        </w:rPr>
        <w:t xml:space="preserve">File a report with the FBI Internet Crime Complaint Center for cyber crime, and with local law enforcement.</w:t>
      </w:r>
    </w:p>
    <w:p>
      <w:pPr>
        <w:pStyle w:val="ListParagraph"/>
        <w:numPr>
          <w:ilvl w:val="0"/>
          <w:numId w:val="2"/>
        </w:numPr>
        <w:spacing w:after="60"/>
      </w:pPr>
      <w:r>
        <w:rPr>
          <w:sz w:val="22"/>
          <w:szCs w:val="22"/>
          <w:rFonts w:ascii="Arial" w:cs="Arial" w:eastAsia="Arial" w:hAnsi="Arial"/>
        </w:rPr>
        <w:t xml:space="preserve">Notify the tax software vendor, the Firm's insurer, and legal counsel.</w:t>
      </w:r>
    </w:p>
    <w:p>
      <w:pPr>
        <w:pStyle w:val="ListParagraph"/>
        <w:numPr>
          <w:ilvl w:val="0"/>
          <w:numId w:val="2"/>
        </w:numPr>
        <w:spacing w:after="60"/>
      </w:pPr>
      <w:r>
        <w:rPr>
          <w:sz w:val="22"/>
          <w:szCs w:val="22"/>
          <w:rFonts w:ascii="Arial" w:cs="Arial" w:eastAsia="Arial" w:hAnsi="Arial"/>
        </w:rPr>
        <w:t xml:space="preserve">Notify affected clients so they can protect their credit and identity, with the PIO as the single voice.</w:t>
      </w:r>
    </w:p>
    <w:p>
      <w:pPr>
        <w:pStyle w:val="ListParagraph"/>
        <w:numPr>
          <w:ilvl w:val="0"/>
          <w:numId w:val="2"/>
        </w:numPr>
        <w:spacing w:after="60"/>
      </w:pPr>
      <w:r>
        <w:rPr>
          <w:sz w:val="22"/>
          <w:szCs w:val="22"/>
          <w:rFonts w:ascii="Arial" w:cs="Arial" w:eastAsia="Arial" w:hAnsi="Arial"/>
        </w:rPr>
        <w:t xml:space="preserve">Hold a post-incident review led by the DSC and record what changed.</w:t>
      </w:r>
    </w:p>
    <w:p>
      <w:pPr>
        <w:spacing w:after="140"/>
      </w:pPr>
      <w:r>
        <w:rPr>
          <w:sz w:val="22"/>
          <w:szCs w:val="22"/>
          <w:rFonts w:ascii="Arial" w:cs="Arial" w:eastAsia="Arial" w:hAnsi="Arial"/>
        </w:rPr>
        <w:t xml:space="preserve">IRS Stakeholder Liaison contact for our state: ______________________________________________</w:t>
      </w:r>
    </w:p>
    <w:p>
      <w:pPr>
        <w:spacing w:after="140"/>
      </w:pPr>
      <w:r>
        <w:rPr>
          <w:sz w:val="22"/>
          <w:szCs w:val="22"/>
          <w:rFonts w:ascii="Arial" w:cs="Arial" w:eastAsia="Arial" w:hAnsi="Arial"/>
        </w:rPr>
        <w:t xml:space="preserve">Insurance carrier and policy number: ______________________________________________</w:t>
      </w:r>
    </w:p>
    <w:p>
      <w:pPr>
        <w:spacing w:after="140"/>
      </w:pPr>
      <w:r>
        <w:rPr>
          <w:sz w:val="22"/>
          <w:szCs w:val="22"/>
          <w:rFonts w:ascii="Arial" w:cs="Arial" w:eastAsia="Arial" w:hAnsi="Arial"/>
        </w:rPr>
        <w:t xml:space="preserve">Legal counsel: ______________________________________________</w:t>
      </w:r>
    </w:p>
    <w:p>
      <w:pPr>
        <w:pStyle w:val="Heading1"/>
        <w:spacing w:before="280" w:after="140"/>
      </w:pPr>
      <w:r>
        <w:rPr>
          <w:b/>
          <w:bCs/>
          <w:sz w:val="32"/>
          <w:szCs w:val="32"/>
          <w:rFonts w:ascii="Arial" w:cs="Arial" w:eastAsia="Arial" w:hAnsi="Arial"/>
        </w:rPr>
        <w:t xml:space="preserve">Attachment D. Employee and contractor acknowledgement</w:t>
      </w:r>
    </w:p>
    <w:p>
      <w:pPr>
        <w:spacing w:after="120"/>
      </w:pPr>
      <w:r>
        <w:rPr>
          <w:sz w:val="22"/>
          <w:szCs w:val="22"/>
          <w:rFonts w:ascii="Arial" w:cs="Arial" w:eastAsia="Arial" w:hAnsi="Arial"/>
        </w:rPr>
        <w:t xml:space="preserve">I have received a copy of the [Firm name] Written Information Security Plan, I have been trained on it by the Data Security Coordinator, and I agree to follow its provisions and the rules of behavior in Attachment B.</w:t>
      </w:r>
    </w:p>
    <w:p>
      <w:pPr>
        <w:spacing w:after="140"/>
      </w:pPr>
      <w:r>
        <w:rPr>
          <w:sz w:val="22"/>
          <w:szCs w:val="22"/>
          <w:rFonts w:ascii="Arial" w:cs="Arial" w:eastAsia="Arial" w:hAnsi="Arial"/>
        </w:rPr>
        <w:t xml:space="preserve">Name: ______________________________________________</w:t>
      </w:r>
    </w:p>
    <w:p>
      <w:pPr>
        <w:spacing w:after="140"/>
      </w:pPr>
      <w:r>
        <w:rPr>
          <w:sz w:val="22"/>
          <w:szCs w:val="22"/>
          <w:rFonts w:ascii="Arial" w:cs="Arial" w:eastAsia="Arial" w:hAnsi="Arial"/>
        </w:rPr>
        <w:t xml:space="preserve">Signature: ______________________________________________</w:t>
      </w:r>
    </w:p>
    <w:p>
      <w:pPr>
        <w:spacing w:after="140"/>
      </w:pPr>
      <w:r>
        <w:rPr>
          <w:sz w:val="22"/>
          <w:szCs w:val="22"/>
          <w:rFonts w:ascii="Arial" w:cs="Arial" w:eastAsia="Arial" w:hAnsi="Arial"/>
        </w:rPr>
        <w:t xml:space="preserve">Date: ______________________________________________</w:t>
      </w:r>
    </w:p>
    <w:p>
      <w:pPr>
        <w:pStyle w:val="Heading1"/>
        <w:spacing w:before="280" w:after="140"/>
      </w:pPr>
      <w:r>
        <w:rPr>
          <w:b/>
          <w:bCs/>
          <w:sz w:val="32"/>
          <w:szCs w:val="32"/>
          <w:rFonts w:ascii="Arial" w:cs="Arial" w:eastAsia="Arial" w:hAnsi="Arial"/>
        </w:rPr>
        <w:t xml:space="preserve">Attachment E. Hardware, systems and service providers holding PII</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40"/>
        <w:gridCol w:w="2400"/>
      </w:tblGrid>
      <w:tr>
        <w:tc>
          <w:tcPr>
            <w:tcW w:type="dxa" w:w="2400"/>
          </w:tcPr>
          <w:p>
            <w:pPr>
              <w:spacing w:after="40"/>
            </w:pPr>
            <w:r>
              <w:rPr>
                <w:b/>
                <w:bCs/>
                <w:sz w:val="22"/>
                <w:szCs w:val="22"/>
                <w:rFonts w:ascii="Arial" w:cs="Arial" w:eastAsia="Arial" w:hAnsi="Arial"/>
              </w:rPr>
              <w:t xml:space="preserve">Device or service</w:t>
            </w:r>
          </w:p>
        </w:tc>
        <w:tc>
          <w:tcPr>
            <w:tcW w:type="dxa" w:w="2400"/>
          </w:tcPr>
          <w:p>
            <w:pPr>
              <w:spacing w:after="40"/>
            </w:pPr>
            <w:r>
              <w:rPr>
                <w:b/>
                <w:bCs/>
                <w:sz w:val="22"/>
                <w:szCs w:val="22"/>
                <w:rFonts w:ascii="Arial" w:cs="Arial" w:eastAsia="Arial" w:hAnsi="Arial"/>
              </w:rPr>
              <w:t xml:space="preserve">Location or provider</w:t>
            </w:r>
          </w:p>
        </w:tc>
        <w:tc>
          <w:tcPr>
            <w:tcW w:type="dxa" w:w="2440"/>
          </w:tcPr>
          <w:p>
            <w:pPr>
              <w:spacing w:after="40"/>
            </w:pPr>
            <w:r>
              <w:rPr>
                <w:b/>
                <w:bCs/>
                <w:sz w:val="22"/>
                <w:szCs w:val="22"/>
                <w:rFonts w:ascii="Arial" w:cs="Arial" w:eastAsia="Arial" w:hAnsi="Arial"/>
              </w:rPr>
              <w:t xml:space="preserve">Information held</w:t>
            </w:r>
          </w:p>
        </w:tc>
        <w:tc>
          <w:tcPr>
            <w:tcW w:type="dxa" w:w="2400"/>
          </w:tcPr>
          <w:p>
            <w:pPr>
              <w:spacing w:after="40"/>
            </w:pPr>
            <w:r>
              <w:rPr>
                <w:b/>
                <w:bCs/>
                <w:sz w:val="22"/>
                <w:szCs w:val="22"/>
                <w:rFonts w:ascii="Arial" w:cs="Arial" w:eastAsia="Arial" w:hAnsi="Arial"/>
              </w:rPr>
              <w:t xml:space="preserve">Encrypted / reviewed on</w:t>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bl>
    <w:p>
      <w:pPr>
        <w:spacing w:after="200"/>
      </w:pPr>
      <w:r>
        <w:rPr>
          <w:sz w:val="22"/>
          <w:szCs w:val="22"/>
          <w:rFonts w:ascii="Arial" w:cs="Arial" w:eastAsia="Arial" w:hAnsi="Arial"/>
        </w:rPr>
      </w:r>
    </w:p>
    <w:p>
      <w:pPr>
        <w:pStyle w:val="Heading1"/>
        <w:spacing w:before="280" w:after="140"/>
      </w:pPr>
      <w:r>
        <w:rPr>
          <w:b/>
          <w:bCs/>
          <w:sz w:val="32"/>
          <w:szCs w:val="32"/>
          <w:rFonts w:ascii="Arial" w:cs="Arial" w:eastAsia="Arial" w:hAnsi="Arial"/>
        </w:rPr>
        <w:t xml:space="preserve">Attachment F. Employees authorized to access PII</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40"/>
        <w:gridCol w:w="2400"/>
      </w:tblGrid>
      <w:tr>
        <w:tc>
          <w:tcPr>
            <w:tcW w:type="dxa" w:w="2400"/>
          </w:tcPr>
          <w:p>
            <w:pPr>
              <w:spacing w:after="40"/>
            </w:pPr>
            <w:r>
              <w:rPr>
                <w:b/>
                <w:bCs/>
                <w:sz w:val="22"/>
                <w:szCs w:val="22"/>
                <w:rFonts w:ascii="Arial" w:cs="Arial" w:eastAsia="Arial" w:hAnsi="Arial"/>
              </w:rPr>
              <w:t xml:space="preserve">Name</w:t>
            </w:r>
          </w:p>
        </w:tc>
        <w:tc>
          <w:tcPr>
            <w:tcW w:type="dxa" w:w="2400"/>
          </w:tcPr>
          <w:p>
            <w:pPr>
              <w:spacing w:after="40"/>
            </w:pPr>
            <w:r>
              <w:rPr>
                <w:b/>
                <w:bCs/>
                <w:sz w:val="22"/>
                <w:szCs w:val="22"/>
                <w:rFonts w:ascii="Arial" w:cs="Arial" w:eastAsia="Arial" w:hAnsi="Arial"/>
              </w:rPr>
              <w:t xml:space="preserve">Role</w:t>
            </w:r>
          </w:p>
        </w:tc>
        <w:tc>
          <w:tcPr>
            <w:tcW w:type="dxa" w:w="2440"/>
          </w:tcPr>
          <w:p>
            <w:pPr>
              <w:spacing w:after="40"/>
            </w:pPr>
            <w:r>
              <w:rPr>
                <w:b/>
                <w:bCs/>
                <w:sz w:val="22"/>
                <w:szCs w:val="22"/>
                <w:rFonts w:ascii="Arial" w:cs="Arial" w:eastAsia="Arial" w:hAnsi="Arial"/>
              </w:rPr>
              <w:t xml:space="preserve">Systems and access level</w:t>
            </w:r>
          </w:p>
        </w:tc>
        <w:tc>
          <w:tcPr>
            <w:tcW w:type="dxa" w:w="2400"/>
          </w:tcPr>
          <w:p>
            <w:pPr>
              <w:spacing w:after="40"/>
            </w:pPr>
            <w:r>
              <w:rPr>
                <w:b/>
                <w:bCs/>
                <w:sz w:val="22"/>
                <w:szCs w:val="22"/>
                <w:rFonts w:ascii="Arial" w:cs="Arial" w:eastAsia="Arial" w:hAnsi="Arial"/>
              </w:rPr>
              <w:t xml:space="preserve">Date granted / removed</w:t>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r>
        <w:tc>
          <w:tcPr>
            <w:tcW w:type="dxa" w:w="240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c>
          <w:tcPr>
            <w:tcW w:type="dxa" w:w="2440"/>
          </w:tcPr>
          <w:p>
            <w:pPr>
              <w:spacing w:after="40"/>
            </w:pPr>
            <w:r>
              <w:rPr>
                <w:b w:val="false"/>
                <w:bCs w:val="false"/>
                <w:sz w:val="22"/>
                <w:szCs w:val="22"/>
                <w:rFonts w:ascii="Arial" w:cs="Arial" w:eastAsia="Arial" w:hAnsi="Arial"/>
              </w:rPr>
            </w:r>
          </w:p>
        </w:tc>
        <w:tc>
          <w:tcPr>
            <w:tcW w:type="dxa" w:w="2400"/>
          </w:tcPr>
          <w:p>
            <w:pPr>
              <w:spacing w:after="40"/>
            </w:pPr>
            <w:r>
              <w:rPr>
                <w:b w:val="false"/>
                <w:bCs w:val="false"/>
                <w:sz w:val="22"/>
                <w:szCs w:val="22"/>
                <w:rFonts w:ascii="Arial" w:cs="Arial" w:eastAsia="Arial" w:hAnsi="Arial"/>
              </w:rPr>
            </w:r>
          </w:p>
        </w:tc>
      </w:tr>
    </w:tbl>
    <w:sectPr>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bullet"/>
      <w:lvlText w:val="☐"/>
      <w:lvlJc w:val="left"/>
      <w:pPr>
        <w:ind w:left="54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2026-09-05T23:15:15.943Z</dcterms:created>
  <dcterms:modified xsi:type="dcterms:W3CDTF">2026-09-05T23:15:15.943Z</dcterms:modified>
</cp:coreProperties>
</file>

<file path=docProps/custom.xml><?xml version="1.0" encoding="utf-8"?>
<Properties xmlns="http://schemas.openxmlformats.org/officeDocument/2006/custom-properties" xmlns:vt="http://schemas.openxmlformats.org/officeDocument/2006/docPropsVTypes"/>
</file>